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81DDB" w14:textId="77777777" w:rsidR="008E7AAB" w:rsidRDefault="004802BC">
      <w:pPr>
        <w:spacing w:before="240" w:after="240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     </w:t>
      </w:r>
    </w:p>
    <w:p w14:paraId="3F1E513F" w14:textId="77777777" w:rsidR="008E7AAB" w:rsidRDefault="004802BC">
      <w:pPr>
        <w:spacing w:line="240" w:lineRule="exact"/>
      </w:pPr>
      <w:r>
        <w:rPr>
          <w:sz w:val="24"/>
          <w:szCs w:val="24"/>
        </w:rPr>
        <w:t xml:space="preserve">Hiermit erteile </w:t>
      </w:r>
      <w:proofErr w:type="gramStart"/>
      <w:r>
        <w:rPr>
          <w:sz w:val="24"/>
          <w:szCs w:val="24"/>
        </w:rPr>
        <w:t>ich,   </w:t>
      </w:r>
      <w:proofErr w:type="gramEnd"/>
      <w:r>
        <w:rPr>
          <w:sz w:val="24"/>
          <w:szCs w:val="24"/>
        </w:rPr>
        <w:t>   </w:t>
      </w:r>
      <w:r>
        <w:rPr>
          <w:b/>
          <w:bCs/>
          <w:sz w:val="24"/>
          <w:szCs w:val="24"/>
        </w:rPr>
        <w:t xml:space="preserve">,      ,      </w:t>
      </w:r>
    </w:p>
    <w:p w14:paraId="091FACF1" w14:textId="77777777" w:rsidR="008E7AAB" w:rsidRDefault="004802BC">
      <w:pPr>
        <w:spacing w:before="360"/>
        <w:jc w:val="center"/>
      </w:pPr>
      <w:r>
        <w:rPr>
          <w:b/>
          <w:bCs/>
          <w:sz w:val="24"/>
          <w:szCs w:val="24"/>
        </w:rPr>
        <w:t>Anwaltskanzlei Geist</w:t>
      </w:r>
    </w:p>
    <w:p w14:paraId="1F3A3EDE" w14:textId="77777777" w:rsidR="008E7AAB" w:rsidRDefault="004802BC">
      <w:pPr>
        <w:jc w:val="center"/>
      </w:pPr>
      <w:r>
        <w:rPr>
          <w:b/>
          <w:bCs/>
          <w:sz w:val="36"/>
          <w:szCs w:val="36"/>
        </w:rPr>
        <w:t xml:space="preserve">Rechtsanwältin Dr. Swetlana Geist </w:t>
      </w:r>
    </w:p>
    <w:p w14:paraId="188A8FA9" w14:textId="0144459A" w:rsidR="008E7AAB" w:rsidRDefault="00D56E12">
      <w:pPr>
        <w:jc w:val="center"/>
      </w:pPr>
      <w:r w:rsidRPr="00D56E12">
        <w:rPr>
          <w:b/>
          <w:bCs/>
          <w:sz w:val="28"/>
          <w:szCs w:val="28"/>
        </w:rPr>
        <w:t>Weimarstraße 57</w:t>
      </w:r>
    </w:p>
    <w:p w14:paraId="16B6050A" w14:textId="77777777" w:rsidR="008E7AAB" w:rsidRDefault="004802BC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78532 Tuttlingen</w:t>
      </w:r>
    </w:p>
    <w:p w14:paraId="5FEBFE6A" w14:textId="77777777" w:rsidR="008E7AAB" w:rsidRDefault="004802BC">
      <w:pPr>
        <w:spacing w:after="480"/>
        <w:jc w:val="center"/>
        <w:rPr>
          <w:sz w:val="24"/>
          <w:szCs w:val="24"/>
        </w:rPr>
      </w:pPr>
      <w:r>
        <w:rPr>
          <w:sz w:val="24"/>
          <w:szCs w:val="24"/>
        </w:rPr>
        <w:t>Tel:</w:t>
      </w:r>
      <w:r>
        <w:rPr>
          <w:b/>
          <w:bCs/>
          <w:sz w:val="24"/>
          <w:szCs w:val="24"/>
        </w:rPr>
        <w:t xml:space="preserve"> 07461 968 4408    </w:t>
      </w:r>
      <w:r>
        <w:rPr>
          <w:sz w:val="24"/>
          <w:szCs w:val="24"/>
        </w:rPr>
        <w:t>Fax:</w:t>
      </w:r>
      <w:r>
        <w:rPr>
          <w:b/>
          <w:bCs/>
          <w:sz w:val="24"/>
          <w:szCs w:val="24"/>
        </w:rPr>
        <w:t xml:space="preserve"> 07461 968 4409</w:t>
      </w:r>
    </w:p>
    <w:p w14:paraId="7B8C01AB" w14:textId="77777777" w:rsidR="008E7AAB" w:rsidRDefault="004802BC">
      <w:pPr>
        <w:tabs>
          <w:tab w:val="left" w:pos="1701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in Sachen: </w:t>
      </w:r>
      <w:r>
        <w:rPr>
          <w:sz w:val="24"/>
          <w:szCs w:val="24"/>
        </w:rPr>
        <w:tab/>
        <w:t>     </w:t>
      </w:r>
    </w:p>
    <w:p w14:paraId="4529032B" w14:textId="77777777" w:rsidR="008E7AAB" w:rsidRDefault="004802BC">
      <w:pPr>
        <w:tabs>
          <w:tab w:val="left" w:pos="1701"/>
        </w:tabs>
        <w:spacing w:before="60" w:line="240" w:lineRule="exact"/>
        <w:rPr>
          <w:sz w:val="24"/>
          <w:szCs w:val="24"/>
        </w:rPr>
      </w:pPr>
      <w:r>
        <w:rPr>
          <w:sz w:val="24"/>
          <w:szCs w:val="24"/>
        </w:rPr>
        <w:t>wegen:</w:t>
      </w:r>
      <w:r>
        <w:rPr>
          <w:sz w:val="24"/>
          <w:szCs w:val="24"/>
        </w:rPr>
        <w:tab/>
        <w:t>    </w:t>
      </w:r>
    </w:p>
    <w:p w14:paraId="516B60D0" w14:textId="77777777" w:rsidR="008E7AAB" w:rsidRDefault="004802BC">
      <w:pPr>
        <w:tabs>
          <w:tab w:val="left" w:pos="1701"/>
        </w:tabs>
        <w:spacing w:before="60" w:line="240" w:lineRule="exact"/>
      </w:pPr>
      <w:r>
        <w:rPr>
          <w:sz w:val="24"/>
          <w:szCs w:val="24"/>
        </w:rPr>
        <w:t>Aktenzeichen:</w:t>
      </w:r>
      <w:r>
        <w:rPr>
          <w:sz w:val="24"/>
          <w:szCs w:val="24"/>
        </w:rPr>
        <w:tab/>
        <w:t>     </w:t>
      </w:r>
    </w:p>
    <w:p w14:paraId="1F6DDD63" w14:textId="77777777" w:rsidR="008E7AAB" w:rsidRDefault="004802BC">
      <w:pPr>
        <w:pStyle w:val="berschrift1"/>
      </w:pPr>
      <w:r>
        <w:t>Vollmacht</w:t>
      </w:r>
    </w:p>
    <w:p w14:paraId="54D2DFED" w14:textId="77777777" w:rsidR="008E7AAB" w:rsidRDefault="004802BC">
      <w:pPr>
        <w:spacing w:line="240" w:lineRule="exact"/>
      </w:pPr>
      <w:r>
        <w:t xml:space="preserve">Die </w:t>
      </w:r>
      <w:r>
        <w:t>Vollmacht berechtigt</w:t>
      </w:r>
    </w:p>
    <w:p w14:paraId="38E57372" w14:textId="77777777" w:rsidR="008E7AAB" w:rsidRDefault="004802BC">
      <w:pPr>
        <w:pStyle w:val="TextkrperEinrckung"/>
        <w:spacing w:before="60"/>
        <w:ind w:left="357" w:hanging="357"/>
      </w:pPr>
      <w:r>
        <w:t>1.</w:t>
      </w:r>
      <w:r>
        <w:tab/>
        <w:t>zur Prozessführung (u. a. nach §§ 81 ff. ZPO) einschließlich der Befugnis zur Erhebung und Zurücknahme von Widerklagen.</w:t>
      </w:r>
    </w:p>
    <w:p w14:paraId="558AA8EA" w14:textId="77777777" w:rsidR="008E7AAB" w:rsidRDefault="004802BC">
      <w:pPr>
        <w:pStyle w:val="TextkrperEinrckung"/>
        <w:spacing w:before="60"/>
        <w:ind w:left="357" w:hanging="357"/>
      </w:pPr>
      <w:r>
        <w:t>2.</w:t>
      </w:r>
      <w:r>
        <w:tab/>
        <w:t>Zur Antragstellung in Scheidungs- und Scheidungsfolgesachen, zum Abschluss von Vereinbarungen über Scheidungs</w:t>
      </w:r>
      <w:r>
        <w:t>folgen sowie zur Stellung von Anträgen auf Erteilung von Renten- und sonstigen Versorgungs</w:t>
      </w:r>
      <w:r>
        <w:softHyphen/>
        <w:t>auskünften.</w:t>
      </w:r>
    </w:p>
    <w:p w14:paraId="437F044E" w14:textId="77777777" w:rsidR="008E7AAB" w:rsidRDefault="004802BC">
      <w:pPr>
        <w:pStyle w:val="TextkrperEinrckung"/>
        <w:spacing w:before="60"/>
        <w:ind w:left="357" w:hanging="357"/>
      </w:pPr>
      <w:r>
        <w:t>3.</w:t>
      </w:r>
      <w:r>
        <w:tab/>
        <w:t>Zur Vertretung und Verteidigung in Strafsachen und Bußgeldsachen (§§ 302, 374 StPO) einschließ</w:t>
      </w:r>
      <w:r>
        <w:softHyphen/>
        <w:t>lich der Vorverfahren sowie (für den Fall der Abwesenhe</w:t>
      </w:r>
      <w:r>
        <w:t>it) zur Vertretung nach § 411 II StPO, mit ausdrücklicher Ermächtigung auch nach §§ 233 I, 234 StPO sowie mit ausdrücklicher Ermächtigung zur Empfangnahme von Ladungen nach § 145 a II StPO, zur Stellung von Straf- und anderen nach der Strafprozessordnung z</w:t>
      </w:r>
      <w:r>
        <w:t>ulässigen Anträgen und von Anträgen nach dem Gesetz über die Entschädi</w:t>
      </w:r>
      <w:r>
        <w:softHyphen/>
        <w:t>gung für Strafverfolgungsmaßnahmen, insbesondere auch für das Betragsverfahren.</w:t>
      </w:r>
    </w:p>
    <w:p w14:paraId="7AD5025E" w14:textId="77777777" w:rsidR="008E7AAB" w:rsidRDefault="004802BC">
      <w:pPr>
        <w:pStyle w:val="TextkrperEinrckung"/>
        <w:spacing w:before="60"/>
        <w:ind w:left="357" w:hanging="357"/>
      </w:pPr>
      <w:r>
        <w:t>4.</w:t>
      </w:r>
      <w:r>
        <w:tab/>
        <w:t>Zur Vertretung in sonstigen Verfahren und bei außergerichtlichen Verhandlungen aller Art (insbesondere</w:t>
      </w:r>
      <w:r>
        <w:t xml:space="preserve"> in Unfallsachen zur Geltendmachung von Ansprüchen gegen Schädiger, Fahrzeughal</w:t>
      </w:r>
      <w:r>
        <w:softHyphen/>
        <w:t>ter und deren Versicherer).</w:t>
      </w:r>
    </w:p>
    <w:p w14:paraId="58C8CEC7" w14:textId="77777777" w:rsidR="008E7AAB" w:rsidRDefault="004802BC">
      <w:pPr>
        <w:pStyle w:val="TextkrperEinrckung"/>
        <w:spacing w:before="60"/>
        <w:ind w:left="357" w:hanging="357"/>
      </w:pPr>
      <w:r>
        <w:t>5.</w:t>
      </w:r>
      <w:r>
        <w:tab/>
        <w:t>Zur Begründung und Aufhebung von Vertragsverhältnissen und zur Abgabe und Entgegennahme von einseitigen Willenserklärungen (z. B. Kündigungen) in</w:t>
      </w:r>
      <w:r>
        <w:t xml:space="preserve"> Zusammenhang mit der oben unter „wegen . . .“ genannten Angelegenheit.</w:t>
      </w:r>
    </w:p>
    <w:p w14:paraId="2AB1813C" w14:textId="77777777" w:rsidR="008E7AAB" w:rsidRDefault="004802BC">
      <w:pPr>
        <w:spacing w:before="240"/>
        <w:jc w:val="both"/>
      </w:pPr>
      <w:r>
        <w:t>Die Vollmacht gilt für alle Instanzen und erstreckt sich auch auf Neben- und Folgeverfahren aller Art (z. B. Arrest und einstweilige Verfügung, Kostenfestsetzungs-, Zwangsvollstreckung</w:t>
      </w:r>
      <w:r>
        <w:t xml:space="preserve">s-, Interventions-, Zwangsversteigerungs-, </w:t>
      </w:r>
      <w:proofErr w:type="spellStart"/>
      <w:r>
        <w:t>Zwangsver</w:t>
      </w:r>
      <w:r>
        <w:softHyphen/>
        <w:t>waltungs</w:t>
      </w:r>
      <w:proofErr w:type="spellEnd"/>
      <w:r>
        <w:t>-, und Hinterlegungsverfahren sowie Insolvenz- und Ver</w:t>
      </w:r>
      <w:r>
        <w:softHyphen/>
        <w:t>gleichsverfahren über das Vermögen des Gegners). Sie umfasst insbesondere die Befugnis, Zustellungen zu bewirken und entgegenzunehmen, die V</w:t>
      </w:r>
      <w:r>
        <w:t>ollmacht ganz oder teilweise auf andere zu übertragen (Untervollmacht), Rechtsmittel einzulegen, zurückzunehmen oder auf sie zu verzichten, den Rechtsstreit oder außergerichtliche Verhandlungen durch Vergleich, Verzicht oder Anerkenntnis zu erledigen, Geld</w:t>
      </w:r>
      <w:r>
        <w:t>, Wertsachen und Urkunden, insbesondere auch den Streitgegenstand und die von dem Gegner, von der Ju</w:t>
      </w:r>
      <w:r>
        <w:softHyphen/>
        <w:t>stizkasse oder von sonstigen Stellen zu erstattenden Beträge entgegenzunehmen sowie Akteneinsicht zu nehmen.</w:t>
      </w:r>
    </w:p>
    <w:p w14:paraId="76B7A593" w14:textId="77777777" w:rsidR="008E7AAB" w:rsidRDefault="004802BC">
      <w:pPr>
        <w:tabs>
          <w:tab w:val="right" w:pos="9611"/>
        </w:tabs>
        <w:spacing w:before="960" w:line="240" w:lineRule="exact"/>
        <w:jc w:val="both"/>
      </w:pPr>
      <w:r>
        <w:t xml:space="preserve">. . . . . . . . . . . . . . . . . . </w:t>
      </w:r>
      <w:proofErr w:type="gramStart"/>
      <w:r>
        <w:t>. . . .</w:t>
      </w:r>
      <w:proofErr w:type="gramEnd"/>
      <w:r>
        <w:t>, d</w:t>
      </w:r>
      <w:r>
        <w:t xml:space="preserve">en </w:t>
      </w:r>
      <w:r>
        <w:fldChar w:fldCharType="begin"/>
      </w:r>
      <w:r>
        <w:instrText xml:space="preserve"> DATE \@ "dd.MM.yy" </w:instrText>
      </w:r>
      <w:r>
        <w:fldChar w:fldCharType="separate"/>
      </w:r>
      <w:r w:rsidR="00D56E12">
        <w:rPr>
          <w:noProof/>
        </w:rPr>
        <w:t>04.01.21</w:t>
      </w:r>
      <w:r>
        <w:fldChar w:fldCharType="end"/>
      </w:r>
      <w:r>
        <w:tab/>
        <w:t>. . . . . . . . . . . . . . . . . . . . . . . . . . . . . . . . . . . . . . . . . . . . . .</w:t>
      </w:r>
    </w:p>
    <w:p w14:paraId="7E57DCE1" w14:textId="77777777" w:rsidR="008E7AAB" w:rsidRDefault="004802BC">
      <w:pPr>
        <w:tabs>
          <w:tab w:val="center" w:pos="1134"/>
          <w:tab w:val="center" w:pos="7088"/>
        </w:tabs>
        <w:spacing w:line="240" w:lineRule="exact"/>
        <w:jc w:val="both"/>
      </w:pPr>
      <w:r>
        <w:tab/>
      </w:r>
      <w:r>
        <w:rPr>
          <w:sz w:val="18"/>
          <w:szCs w:val="18"/>
        </w:rPr>
        <w:t>(Ort)</w:t>
      </w:r>
      <w:r>
        <w:tab/>
      </w:r>
      <w:r>
        <w:rPr>
          <w:sz w:val="18"/>
          <w:szCs w:val="18"/>
        </w:rPr>
        <w:t>(Stempel / Unterschrift)</w:t>
      </w:r>
    </w:p>
    <w:sectPr w:rsidR="008E7AAB">
      <w:headerReference w:type="default" r:id="rId6"/>
      <w:footerReference w:type="default" r:id="rId7"/>
      <w:pgSz w:w="11900" w:h="16840"/>
      <w:pgMar w:top="1418" w:right="72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14CD5" w14:textId="77777777" w:rsidR="004802BC" w:rsidRDefault="004802BC">
      <w:r>
        <w:separator/>
      </w:r>
    </w:p>
  </w:endnote>
  <w:endnote w:type="continuationSeparator" w:id="0">
    <w:p w14:paraId="7E6AA3C0" w14:textId="77777777" w:rsidR="004802BC" w:rsidRDefault="0048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AB799" w14:textId="77777777" w:rsidR="008E7AAB" w:rsidRDefault="008E7AAB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EE78" w14:textId="77777777" w:rsidR="004802BC" w:rsidRDefault="004802BC">
      <w:r>
        <w:separator/>
      </w:r>
    </w:p>
  </w:footnote>
  <w:footnote w:type="continuationSeparator" w:id="0">
    <w:p w14:paraId="598871E3" w14:textId="77777777" w:rsidR="004802BC" w:rsidRDefault="0048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F2026" w14:textId="77777777" w:rsidR="008E7AAB" w:rsidRDefault="004802BC">
    <w:pPr>
      <w:pStyle w:val="Kopfzeil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AD3FEA7" wp14:editId="01DCF402">
              <wp:simplePos x="0" y="0"/>
              <wp:positionH relativeFrom="page">
                <wp:posOffset>5928359</wp:posOffset>
              </wp:positionH>
              <wp:positionV relativeFrom="page">
                <wp:posOffset>887730</wp:posOffset>
              </wp:positionV>
              <wp:extent cx="2022475" cy="459106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2475" cy="4591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1489B211" w14:textId="77777777" w:rsidR="008E7AAB" w:rsidRDefault="004802BC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Zustellungen werden nur an den</w:t>
                          </w:r>
                        </w:p>
                        <w:p w14:paraId="0180F8A5" w14:textId="77777777" w:rsidR="008E7AAB" w:rsidRDefault="004802BC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Bevollmächtigten erbeten!</w:t>
                          </w:r>
                        </w:p>
                      </w:txbxContent>
                    </wps:txbx>
                    <wps:bodyPr wrap="square" lIns="48894" tIns="48894" rIns="48894" bIns="48894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466.8pt;margin-top:69.9pt;width:159.2pt;height:36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Standard"/>
                      <w:jc w:val="center"/>
                      <w:rPr>
                        <w:b w:val="1"/>
                        <w:bCs w:val="1"/>
                      </w:rPr>
                    </w:pPr>
                    <w:r>
                      <w:rPr>
                        <w:b w:val="1"/>
                        <w:bCs w:val="1"/>
                        <w:rtl w:val="0"/>
                        <w:lang w:val="de-DE"/>
                      </w:rPr>
                      <w:t>Zustellungen werden nur an den</w:t>
                    </w:r>
                  </w:p>
                  <w:p>
                    <w:pPr>
                      <w:pStyle w:val="Standard"/>
                      <w:jc w:val="center"/>
                    </w:pPr>
                    <w:r>
                      <w:rPr>
                        <w:b w:val="1"/>
                        <w:bCs w:val="1"/>
                        <w:rtl w:val="0"/>
                        <w:lang w:val="de-DE"/>
                      </w:rPr>
                      <w:t>Bevollm</w:t>
                    </w:r>
                    <w:r>
                      <w:rPr>
                        <w:b w:val="1"/>
                        <w:bCs w:val="1"/>
                        <w:rtl w:val="0"/>
                        <w:lang w:val="de-DE"/>
                      </w:rPr>
                      <w:t>ä</w:t>
                    </w:r>
                    <w:r>
                      <w:rPr>
                        <w:b w:val="1"/>
                        <w:bCs w:val="1"/>
                        <w:rtl w:val="0"/>
                        <w:lang w:val="de-DE"/>
                      </w:rPr>
                      <w:t>chtigten erbeten!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AB"/>
    <w:rsid w:val="004802BC"/>
    <w:rsid w:val="008E7AAB"/>
    <w:rsid w:val="00D5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D97D4D"/>
  <w15:docId w15:val="{7E1C93A3-9969-CB4D-98DC-AF1B1670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cs="Arial Unicode MS"/>
      <w:color w:val="000000"/>
      <w:u w:color="000000"/>
    </w:rPr>
  </w:style>
  <w:style w:type="paragraph" w:styleId="berschrift1">
    <w:name w:val="heading 1"/>
    <w:next w:val="Standard"/>
    <w:uiPriority w:val="9"/>
    <w:qFormat/>
    <w:pPr>
      <w:keepNext/>
      <w:tabs>
        <w:tab w:val="left" w:pos="432"/>
      </w:tabs>
      <w:suppressAutoHyphens/>
      <w:spacing w:before="240" w:after="240"/>
      <w:ind w:left="432" w:hanging="432"/>
      <w:jc w:val="center"/>
      <w:outlineLvl w:val="0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xtkrperEinrckung">
    <w:name w:val="Textkörper Einrückung"/>
    <w:pPr>
      <w:suppressAutoHyphens/>
      <w:ind w:left="360" w:hanging="360"/>
      <w:jc w:val="both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Kroeker</cp:lastModifiedBy>
  <cp:revision>2</cp:revision>
  <dcterms:created xsi:type="dcterms:W3CDTF">2021-01-04T12:25:00Z</dcterms:created>
  <dcterms:modified xsi:type="dcterms:W3CDTF">2021-01-04T12:41:00Z</dcterms:modified>
</cp:coreProperties>
</file>